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POST/DYS/OLD/GZ/04482/2025                        </dmsv2SWPP2ObjectNumber>
    <dmsv2SWPP2SumMD5 xmlns="http://schemas.microsoft.com/sharepoint/v3">58b83d105bb1e6a67cf0e0820e600cfd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23971638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JEUP5JKVCYQC-91331814-16716</_dlc_DocId>
    <_dlc_DocIdUrl xmlns="a19cb1c7-c5c7-46d4-85ae-d83685407bba">
      <Url>https://swpp2.dms.gkpge.pl/sites/41/_layouts/15/DocIdRedir.aspx?ID=JEUP5JKVCYQC-91331814-16716</Url>
      <Description>JEUP5JKVCYQC-91331814-16716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C9CB0372-6364-42D4-AA68-222D4C6CDF49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360D8C0-DCF1-439B-BDC5-DECEE4FFE388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0d0f8991-b8f1-41a8-aab0-6f14884b8c63</vt:lpwstr>
  </property>
</Properties>
</file>